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71D3" w14:textId="77777777" w:rsidR="00851D6F" w:rsidRPr="00152789" w:rsidRDefault="008F1256" w:rsidP="00C44F51">
      <w:pPr>
        <w:pStyle w:val="DocumentType"/>
        <w:framePr w:wrap="notBeside"/>
        <w:rPr>
          <w:lang w:val="en-US"/>
        </w:rPr>
      </w:pPr>
      <w:r>
        <w:rPr>
          <w:lang w:val="en-US"/>
        </w:rPr>
        <w:t>Trade</w:t>
      </w:r>
      <w:r w:rsidR="00170956" w:rsidRPr="00152789">
        <w:rPr>
          <w:lang w:val="en-US"/>
        </w:rPr>
        <w:t xml:space="preserve"> Release</w:t>
      </w:r>
    </w:p>
    <w:p w14:paraId="37106DED" w14:textId="169129CF" w:rsidR="006F16B9" w:rsidRPr="006F16B9" w:rsidRDefault="006F16B9" w:rsidP="006F16B9">
      <w:r>
        <w:t>Geneva, 28 April 2021</w:t>
      </w:r>
    </w:p>
    <w:p w14:paraId="39430D93" w14:textId="05E59740" w:rsidR="006F16B9" w:rsidRDefault="006F16B9" w:rsidP="00E476D0">
      <w:pPr>
        <w:rPr>
          <w:rFonts w:asciiTheme="majorHAnsi" w:hAnsiTheme="majorHAnsi"/>
          <w:sz w:val="28"/>
          <w:szCs w:val="28"/>
        </w:rPr>
      </w:pPr>
    </w:p>
    <w:p w14:paraId="53E82C8B" w14:textId="79BC3F60" w:rsidR="006F16B9" w:rsidRPr="00E476D0" w:rsidRDefault="006F16B9" w:rsidP="00E476D0">
      <w:pPr>
        <w:rPr>
          <w:rFonts w:asciiTheme="majorHAnsi" w:hAnsiTheme="majorHAnsi"/>
          <w:sz w:val="28"/>
          <w:szCs w:val="28"/>
        </w:rPr>
      </w:pPr>
      <w:r>
        <w:rPr>
          <w:rFonts w:asciiTheme="majorHAnsi" w:hAnsiTheme="majorHAnsi"/>
          <w:sz w:val="28"/>
          <w:szCs w:val="28"/>
        </w:rPr>
        <w:t>The Journal of Nutrition publishes clinical results confirming TurmiPure Gold</w:t>
      </w:r>
      <w:r w:rsidRPr="006F16B9">
        <w:rPr>
          <w:rFonts w:asciiTheme="majorHAnsi" w:hAnsiTheme="majorHAnsi"/>
          <w:sz w:val="28"/>
          <w:szCs w:val="28"/>
          <w:vertAlign w:val="superscript"/>
        </w:rPr>
        <w:t>®</w:t>
      </w:r>
      <w:r>
        <w:rPr>
          <w:rFonts w:asciiTheme="majorHAnsi" w:hAnsiTheme="majorHAnsi"/>
          <w:sz w:val="28"/>
          <w:szCs w:val="28"/>
        </w:rPr>
        <w:t xml:space="preserve"> delivers superior curcuminoids bioavailability at a low dose</w:t>
      </w:r>
    </w:p>
    <w:p w14:paraId="3BEBCFAD" w14:textId="77777777" w:rsidR="00E476D0" w:rsidRDefault="00E476D0" w:rsidP="008F1256">
      <w:pPr>
        <w:pBdr>
          <w:top w:val="nil"/>
          <w:left w:val="nil"/>
          <w:bottom w:val="nil"/>
          <w:right w:val="nil"/>
          <w:between w:val="nil"/>
        </w:pBdr>
        <w:suppressAutoHyphens/>
        <w:rPr>
          <w:i/>
          <w:iCs/>
        </w:rPr>
      </w:pPr>
    </w:p>
    <w:p w14:paraId="43BFC14A" w14:textId="41B79C16" w:rsidR="008F1256" w:rsidRPr="00E476D0" w:rsidRDefault="008F1256" w:rsidP="008F1256">
      <w:pPr>
        <w:pBdr>
          <w:top w:val="nil"/>
          <w:left w:val="nil"/>
          <w:bottom w:val="nil"/>
          <w:right w:val="nil"/>
          <w:between w:val="nil"/>
        </w:pBdr>
        <w:suppressAutoHyphens/>
        <w:rPr>
          <w:i/>
          <w:iCs/>
        </w:rPr>
      </w:pPr>
      <w:r w:rsidRPr="00E476D0">
        <w:rPr>
          <w:i/>
          <w:iCs/>
        </w:rPr>
        <w:t>Newly published randomised crossover study in healthy adults compares the efficacy of five turmeric formulas at their recommended daily dose, with TurmiPure Gold</w:t>
      </w:r>
      <w:r w:rsidRPr="00C74C7D">
        <w:rPr>
          <w:i/>
          <w:iCs/>
          <w:vertAlign w:val="superscript"/>
        </w:rPr>
        <w:t>®</w:t>
      </w:r>
      <w:r w:rsidRPr="00E476D0">
        <w:rPr>
          <w:i/>
          <w:iCs/>
        </w:rPr>
        <w:t xml:space="preserve"> demonstrating bioequivalence at a low dose for the first time.</w:t>
      </w:r>
    </w:p>
    <w:p w14:paraId="2E671F7B" w14:textId="77777777" w:rsidR="008F1256" w:rsidRPr="008F1256" w:rsidRDefault="008F1256" w:rsidP="008F1256">
      <w:pPr>
        <w:pBdr>
          <w:top w:val="nil"/>
          <w:left w:val="nil"/>
          <w:bottom w:val="nil"/>
          <w:right w:val="nil"/>
          <w:between w:val="nil"/>
        </w:pBdr>
        <w:suppressAutoHyphens/>
      </w:pPr>
    </w:p>
    <w:p w14:paraId="452F853B" w14:textId="77777777" w:rsidR="008F1256" w:rsidRDefault="008F1256" w:rsidP="008F1256">
      <w:pPr>
        <w:pBdr>
          <w:top w:val="nil"/>
          <w:left w:val="nil"/>
          <w:bottom w:val="nil"/>
          <w:right w:val="nil"/>
          <w:between w:val="nil"/>
        </w:pBdr>
        <w:suppressAutoHyphens/>
      </w:pPr>
      <w:r w:rsidRPr="008F1256">
        <w:t xml:space="preserve">Renowned academic publication The Journal of Nutrition has published the results of a new gold-standard comparative clinical pharmacokinetic study demonstrating that the bioavailability of curcuminoids is impacted significantly by the different delivery technologies used to formulate the turmeric ingredients. </w:t>
      </w:r>
    </w:p>
    <w:p w14:paraId="4B16F037" w14:textId="77777777" w:rsidR="008F1256" w:rsidRPr="008F1256" w:rsidRDefault="008F1256" w:rsidP="008F1256">
      <w:pPr>
        <w:pBdr>
          <w:top w:val="nil"/>
          <w:left w:val="nil"/>
          <w:bottom w:val="nil"/>
          <w:right w:val="nil"/>
          <w:between w:val="nil"/>
        </w:pBdr>
        <w:suppressAutoHyphens/>
      </w:pPr>
    </w:p>
    <w:p w14:paraId="4A0A4845" w14:textId="77777777" w:rsidR="008F1256" w:rsidRDefault="008F1256" w:rsidP="008F1256">
      <w:pPr>
        <w:pBdr>
          <w:top w:val="nil"/>
          <w:left w:val="nil"/>
          <w:bottom w:val="nil"/>
          <w:right w:val="nil"/>
          <w:between w:val="nil"/>
        </w:pBdr>
        <w:suppressAutoHyphens/>
      </w:pPr>
      <w:r w:rsidRPr="008F1256">
        <w:t>The clinical study was designed in line with the latest best practice: randomised, cross-over, high number of subjects (30 healthy adults), 24-hour kinetics, consistent delivery format, clear statistical plan, and the most exhaustive quantification of curcuminoids metabolites carried out to-date. It compared five turmeric products consumed orally at their recommended daily dose for efficacy: standard turmeric extract (1,500mg), piperine-curcuminoid combination (1,515mg), phytosome formulation (1,000mg), liquid micellar preparation (1,000mg) and natural patented dried colloidal suspension turmeric formulation – TurmiPure Gold</w:t>
      </w:r>
      <w:r w:rsidRPr="00C74C7D">
        <w:rPr>
          <w:vertAlign w:val="superscript"/>
        </w:rPr>
        <w:t xml:space="preserve">® </w:t>
      </w:r>
      <w:r w:rsidRPr="008F1256">
        <w:t xml:space="preserve">(300mg). </w:t>
      </w:r>
    </w:p>
    <w:p w14:paraId="07835430" w14:textId="77777777" w:rsidR="008F1256" w:rsidRPr="008F1256" w:rsidRDefault="008F1256" w:rsidP="008F1256">
      <w:pPr>
        <w:pBdr>
          <w:top w:val="nil"/>
          <w:left w:val="nil"/>
          <w:bottom w:val="nil"/>
          <w:right w:val="nil"/>
          <w:between w:val="nil"/>
        </w:pBdr>
        <w:suppressAutoHyphens/>
      </w:pPr>
    </w:p>
    <w:p w14:paraId="5441761A" w14:textId="77777777" w:rsidR="008F1256" w:rsidRDefault="008F1256" w:rsidP="008F1256">
      <w:pPr>
        <w:pBdr>
          <w:top w:val="nil"/>
          <w:left w:val="nil"/>
          <w:bottom w:val="nil"/>
          <w:right w:val="nil"/>
          <w:between w:val="nil"/>
        </w:pBdr>
        <w:suppressAutoHyphens/>
      </w:pPr>
      <w:r w:rsidRPr="008F1256">
        <w:t>The researchers found that a low dose of TurmiPure Gold</w:t>
      </w:r>
      <w:r w:rsidRPr="00C74C7D">
        <w:rPr>
          <w:vertAlign w:val="superscript"/>
        </w:rPr>
        <w:t>®</w:t>
      </w:r>
      <w:r w:rsidRPr="008F1256">
        <w:t xml:space="preserve"> delivered significantly more curcuminoids in blood than a higher dose of any of the other four formulas tested, clearly demonstrating bioequivalence at a low dose. Across the 24-hour study period, a small dose of TurmiPure Gold</w:t>
      </w:r>
      <w:r w:rsidRPr="00C74C7D">
        <w:rPr>
          <w:vertAlign w:val="superscript"/>
        </w:rPr>
        <w:t xml:space="preserve">® </w:t>
      </w:r>
      <w:r w:rsidRPr="008F1256">
        <w:t>(300mg) was shown to deliver as many curcuminoids to the blood as 1,920mg of standard turmeric extract or 2,260mg of a piperine-curcuminoid blend.</w:t>
      </w:r>
    </w:p>
    <w:p w14:paraId="6E5C93EA" w14:textId="77777777" w:rsidR="008F1256" w:rsidRPr="008F1256" w:rsidRDefault="008F1256" w:rsidP="008F1256">
      <w:pPr>
        <w:pBdr>
          <w:top w:val="nil"/>
          <w:left w:val="nil"/>
          <w:bottom w:val="nil"/>
          <w:right w:val="nil"/>
          <w:between w:val="nil"/>
        </w:pBdr>
        <w:suppressAutoHyphens/>
      </w:pPr>
    </w:p>
    <w:p w14:paraId="70A37B5B" w14:textId="77777777" w:rsidR="008F1256" w:rsidRDefault="008F1256" w:rsidP="008F1256">
      <w:pPr>
        <w:pBdr>
          <w:top w:val="nil"/>
          <w:left w:val="nil"/>
          <w:bottom w:val="nil"/>
          <w:right w:val="nil"/>
          <w:between w:val="nil"/>
        </w:pBdr>
        <w:suppressAutoHyphens/>
      </w:pPr>
      <w:r w:rsidRPr="008F1256">
        <w:t>The study also addressed an area of major scientific interest: better understanding of the factors affecting the absorption of curcuminoids. The study shed new light on the proportion of free curcumin vs metabolites really absorbed, but also on dose impact on bioavailability as well as calling into question the need for piperine to maximise absorption.</w:t>
      </w:r>
    </w:p>
    <w:p w14:paraId="4AC03BEF" w14:textId="77777777" w:rsidR="008F1256" w:rsidRPr="008F1256" w:rsidRDefault="008F1256" w:rsidP="008F1256">
      <w:pPr>
        <w:pBdr>
          <w:top w:val="nil"/>
          <w:left w:val="nil"/>
          <w:bottom w:val="nil"/>
          <w:right w:val="nil"/>
          <w:between w:val="nil"/>
        </w:pBdr>
        <w:suppressAutoHyphens/>
      </w:pPr>
    </w:p>
    <w:p w14:paraId="4BC80CA0" w14:textId="77777777" w:rsidR="008F1256" w:rsidRDefault="008F1256" w:rsidP="008F1256">
      <w:pPr>
        <w:pBdr>
          <w:top w:val="nil"/>
          <w:left w:val="nil"/>
          <w:bottom w:val="nil"/>
          <w:right w:val="nil"/>
          <w:between w:val="nil"/>
        </w:pBdr>
        <w:suppressAutoHyphens/>
      </w:pPr>
      <w:r w:rsidRPr="008F1256">
        <w:t>Pascale Fança-Berthon, Category Technical Leader, Health at Givaudan, said: “Publication of this paper in such a reputable journal underlines the quality of the science involved in this study. The results indicate that TurmiPure Gold</w:t>
      </w:r>
      <w:r w:rsidRPr="00C74C7D">
        <w:rPr>
          <w:vertAlign w:val="superscript"/>
        </w:rPr>
        <w:t>®</w:t>
      </w:r>
      <w:r w:rsidRPr="008F1256">
        <w:t xml:space="preserve"> is the most bioavailable low-dose turmeric extract available on the market.”</w:t>
      </w:r>
    </w:p>
    <w:p w14:paraId="549936EE" w14:textId="77777777" w:rsidR="008F1256" w:rsidRPr="008F1256" w:rsidRDefault="008F1256" w:rsidP="008F1256">
      <w:pPr>
        <w:pBdr>
          <w:top w:val="nil"/>
          <w:left w:val="nil"/>
          <w:bottom w:val="nil"/>
          <w:right w:val="nil"/>
          <w:between w:val="nil"/>
        </w:pBdr>
        <w:suppressAutoHyphens/>
      </w:pPr>
    </w:p>
    <w:p w14:paraId="14DD3C61" w14:textId="77777777" w:rsidR="008F1256" w:rsidRPr="008F1256" w:rsidRDefault="008F1256" w:rsidP="008F1256">
      <w:pPr>
        <w:pBdr>
          <w:top w:val="nil"/>
          <w:left w:val="nil"/>
          <w:bottom w:val="nil"/>
          <w:right w:val="nil"/>
          <w:between w:val="nil"/>
        </w:pBdr>
        <w:suppressAutoHyphens/>
      </w:pPr>
      <w:r w:rsidRPr="008F1256">
        <w:t>She added: “TurmiPure Gold</w:t>
      </w:r>
      <w:r w:rsidRPr="0044040E">
        <w:rPr>
          <w:vertAlign w:val="superscript"/>
        </w:rPr>
        <w:t xml:space="preserve">® </w:t>
      </w:r>
      <w:r w:rsidRPr="008F1256">
        <w:t xml:space="preserve">delivers the natural wellbeing benefits that consumers want at a low and cost effective dose. Instantly water-dispersible, it is 100% natural and safe. This innovation broadens the potential for application development and is perfectly aligned with Givaudan’s commitment to support healthy living through its ‘Does Good’ Food Experience space.” </w:t>
      </w:r>
    </w:p>
    <w:p w14:paraId="066208A5" w14:textId="77777777" w:rsidR="008F1256" w:rsidRDefault="008F1256" w:rsidP="008F1256">
      <w:pPr>
        <w:pBdr>
          <w:top w:val="nil"/>
          <w:left w:val="nil"/>
          <w:bottom w:val="nil"/>
          <w:right w:val="nil"/>
          <w:between w:val="nil"/>
        </w:pBdr>
        <w:suppressAutoHyphens/>
      </w:pPr>
      <w:r w:rsidRPr="008F1256">
        <w:lastRenderedPageBreak/>
        <w:t>Part of Givaudan’s Health Essentials bioactive and clinically proven botanical ingredients, TurmiPure Gold</w:t>
      </w:r>
      <w:r w:rsidRPr="00C74C7D">
        <w:rPr>
          <w:vertAlign w:val="superscript"/>
        </w:rPr>
        <w:t xml:space="preserve">® </w:t>
      </w:r>
      <w:r w:rsidRPr="008F1256">
        <w:t>has been subjected to best-in-class human clinical trials to confirm its safety.  It is also Generally Recognized as Safe (GRAS) by an expert Panel in the US, making it suitable for Food &amp; Beverage applications.</w:t>
      </w:r>
    </w:p>
    <w:p w14:paraId="79F24647" w14:textId="77777777" w:rsidR="008F1256" w:rsidRDefault="008F1256" w:rsidP="008F1256">
      <w:pPr>
        <w:pBdr>
          <w:top w:val="nil"/>
          <w:left w:val="nil"/>
          <w:bottom w:val="nil"/>
          <w:right w:val="nil"/>
          <w:between w:val="nil"/>
        </w:pBdr>
        <w:suppressAutoHyphens/>
      </w:pPr>
    </w:p>
    <w:p w14:paraId="5E7F15AA" w14:textId="77777777" w:rsidR="008F1256" w:rsidRPr="008F1256" w:rsidRDefault="008F1256" w:rsidP="008F1256">
      <w:pPr>
        <w:pBdr>
          <w:top w:val="nil"/>
          <w:left w:val="nil"/>
          <w:bottom w:val="nil"/>
          <w:right w:val="nil"/>
          <w:between w:val="nil"/>
        </w:pBdr>
        <w:suppressAutoHyphens/>
      </w:pPr>
    </w:p>
    <w:p w14:paraId="4C6F0EF9" w14:textId="77777777" w:rsidR="008F1256" w:rsidRPr="008F1256" w:rsidRDefault="008F1256" w:rsidP="008F1256">
      <w:pPr>
        <w:pBdr>
          <w:top w:val="nil"/>
          <w:left w:val="nil"/>
          <w:bottom w:val="nil"/>
          <w:right w:val="nil"/>
          <w:between w:val="nil"/>
        </w:pBdr>
        <w:suppressAutoHyphens/>
        <w:rPr>
          <w:sz w:val="14"/>
        </w:rPr>
      </w:pPr>
      <w:r w:rsidRPr="008F1256">
        <w:rPr>
          <w:sz w:val="14"/>
        </w:rPr>
        <w:t xml:space="preserve">This </w:t>
      </w:r>
      <w:r>
        <w:rPr>
          <w:sz w:val="14"/>
        </w:rPr>
        <w:t xml:space="preserve">trade </w:t>
      </w:r>
      <w:r w:rsidRPr="008F1256">
        <w:rPr>
          <w:sz w:val="14"/>
        </w:rPr>
        <w:t>release is intended to provide business-to-business information. It is not for communication to end consumers. The information provided and its uses must be checked for compliance under appropriate local regulations.</w:t>
      </w:r>
    </w:p>
    <w:p w14:paraId="5B9E35BB" w14:textId="77777777" w:rsidR="008F1256" w:rsidRDefault="008F1256" w:rsidP="008F1256">
      <w:pPr>
        <w:pBdr>
          <w:top w:val="nil"/>
          <w:left w:val="nil"/>
          <w:bottom w:val="nil"/>
          <w:right w:val="nil"/>
          <w:between w:val="nil"/>
        </w:pBdr>
        <w:suppressAutoHyphens/>
      </w:pPr>
    </w:p>
    <w:p w14:paraId="5F802784" w14:textId="77777777" w:rsidR="008F1256" w:rsidRDefault="008F1256" w:rsidP="008F1256">
      <w:pPr>
        <w:pBdr>
          <w:top w:val="nil"/>
          <w:left w:val="nil"/>
          <w:bottom w:val="nil"/>
          <w:right w:val="nil"/>
          <w:between w:val="nil"/>
        </w:pBdr>
        <w:suppressAutoHyphens/>
      </w:pPr>
    </w:p>
    <w:p w14:paraId="5278D1F6" w14:textId="77777777" w:rsidR="008F1256" w:rsidRPr="008F1256" w:rsidRDefault="008F1256" w:rsidP="008F1256">
      <w:pPr>
        <w:pBdr>
          <w:top w:val="nil"/>
          <w:left w:val="nil"/>
          <w:bottom w:val="nil"/>
          <w:right w:val="nil"/>
          <w:between w:val="nil"/>
        </w:pBdr>
        <w:suppressAutoHyphens/>
        <w:rPr>
          <w:b/>
          <w:color w:val="00ADA3" w:themeColor="accent4" w:themeShade="BF"/>
        </w:rPr>
      </w:pPr>
      <w:r w:rsidRPr="008F1256">
        <w:rPr>
          <w:b/>
          <w:color w:val="00ADA3" w:themeColor="accent4" w:themeShade="BF"/>
        </w:rPr>
        <w:t xml:space="preserve">About Givaudan </w:t>
      </w:r>
    </w:p>
    <w:p w14:paraId="001BB080" w14:textId="77777777" w:rsidR="008F1256" w:rsidRPr="008F1256" w:rsidRDefault="008F1256" w:rsidP="008F1256">
      <w:pPr>
        <w:pBdr>
          <w:top w:val="nil"/>
          <w:left w:val="nil"/>
          <w:bottom w:val="nil"/>
          <w:right w:val="nil"/>
          <w:between w:val="nil"/>
        </w:pBdr>
        <w:suppressAutoHyphens/>
      </w:pPr>
      <w:r w:rsidRPr="008F1256">
        <w:t xml:space="preserve">Givaudan is a global leading company in taste and wellbeing, and fragrance and beauty. With its heritage stretching back over 250 years, the Company has a long history of innovating scents and tastes. From a favourite drink to your daily meal, from prestige perfumes to cosmetics and laundry care, its creations inspire emotions and delight millions of consumers the world over. The Company is committed to driving purpose-led, long-term growth while leading the way to improve happiness and health for people and nature. In the fiscal year 2020, the Company employed almost 16,000 people worldwide and achieved sales of CHF 6.3 billion and a free cash flow of 12.8% of sales. Let’s imagine together on </w:t>
      </w:r>
      <w:hyperlink r:id="rId8" w:history="1">
        <w:r w:rsidRPr="008F1256">
          <w:rPr>
            <w:rStyle w:val="Hyperlink"/>
            <w:color w:val="018596" w:themeColor="accent2"/>
            <w:u w:val="none"/>
          </w:rPr>
          <w:t>www.givaudan.com</w:t>
        </w:r>
      </w:hyperlink>
      <w:r w:rsidRPr="008F1256">
        <w:t>.</w:t>
      </w:r>
    </w:p>
    <w:p w14:paraId="414EC1B7" w14:textId="77777777" w:rsidR="008F1256" w:rsidRPr="008F1256" w:rsidRDefault="008F1256" w:rsidP="008F1256">
      <w:pPr>
        <w:pBdr>
          <w:top w:val="nil"/>
          <w:left w:val="nil"/>
          <w:bottom w:val="nil"/>
          <w:right w:val="nil"/>
          <w:between w:val="nil"/>
        </w:pBdr>
        <w:suppressAutoHyphens/>
      </w:pPr>
    </w:p>
    <w:p w14:paraId="056A7190" w14:textId="77777777" w:rsidR="008F1256" w:rsidRPr="008F1256" w:rsidRDefault="008F1256" w:rsidP="008F1256">
      <w:pPr>
        <w:pBdr>
          <w:top w:val="nil"/>
          <w:left w:val="nil"/>
          <w:bottom w:val="nil"/>
          <w:right w:val="nil"/>
          <w:between w:val="nil"/>
        </w:pBdr>
        <w:suppressAutoHyphens/>
        <w:rPr>
          <w:b/>
          <w:color w:val="00ADA3" w:themeColor="accent4" w:themeShade="BF"/>
        </w:rPr>
      </w:pPr>
      <w:r w:rsidRPr="008F1256">
        <w:rPr>
          <w:b/>
          <w:color w:val="00ADA3" w:themeColor="accent4" w:themeShade="BF"/>
        </w:rPr>
        <w:t xml:space="preserve">About Givaudan Taste &amp; Wellbeing </w:t>
      </w:r>
    </w:p>
    <w:p w14:paraId="5F934846" w14:textId="77777777" w:rsidR="008F1256" w:rsidRDefault="008F1256" w:rsidP="008F1256">
      <w:pPr>
        <w:pBdr>
          <w:top w:val="nil"/>
          <w:left w:val="nil"/>
          <w:bottom w:val="nil"/>
          <w:right w:val="nil"/>
          <w:between w:val="nil"/>
        </w:pBdr>
        <w:suppressAutoHyphens/>
      </w:pPr>
      <w:r w:rsidRPr="008F1256">
        <w:t xml:space="preserve">Powered by innovation and creativity, Givaudan Taste &amp; Wellbeing aims to shape the future of food by becoming the co-creation partner of choice to its customers. Built on its global leadership position in flavours and taste, the Company goes beyond to create food experiences that do good and feel good, for body, mind and planet. With an expanded portfolio of products across flavours, taste, functional and nutritional solutions and a deep knowledge of the food ecosystem, Givaudan’s passion is to collaborate with customers and partners to develop game changing innovations in food and beverage. Let’s imagine together the future of food. Learn more at </w:t>
      </w:r>
      <w:hyperlink r:id="rId9" w:history="1">
        <w:r w:rsidRPr="008F1256">
          <w:rPr>
            <w:rStyle w:val="Hyperlink"/>
            <w:color w:val="018596" w:themeColor="accent2"/>
            <w:u w:val="none"/>
          </w:rPr>
          <w:t>www.givaudan.com/taste-wellbeing</w:t>
        </w:r>
      </w:hyperlink>
      <w:r w:rsidRPr="008F1256">
        <w:t>.</w:t>
      </w:r>
    </w:p>
    <w:p w14:paraId="304890A7" w14:textId="77777777" w:rsidR="008F1256" w:rsidRDefault="008F1256" w:rsidP="008F1256">
      <w:pPr>
        <w:pBdr>
          <w:top w:val="nil"/>
          <w:left w:val="nil"/>
          <w:bottom w:val="nil"/>
          <w:right w:val="nil"/>
          <w:between w:val="nil"/>
        </w:pBdr>
        <w:suppressAutoHyphens/>
      </w:pPr>
    </w:p>
    <w:p w14:paraId="6AE22DBB" w14:textId="77777777" w:rsidR="008F1256" w:rsidRPr="008F1256" w:rsidRDefault="008F1256" w:rsidP="008F1256">
      <w:pPr>
        <w:pBdr>
          <w:top w:val="nil"/>
          <w:left w:val="nil"/>
          <w:bottom w:val="nil"/>
          <w:right w:val="nil"/>
          <w:between w:val="nil"/>
        </w:pBdr>
        <w:suppressAutoHyphens/>
      </w:pPr>
    </w:p>
    <w:p w14:paraId="020161B0" w14:textId="77777777" w:rsidR="008F1256" w:rsidRPr="008F1256" w:rsidRDefault="008F1256" w:rsidP="008F1256">
      <w:pPr>
        <w:keepNext/>
        <w:keepLines/>
        <w:suppressAutoHyphens/>
        <w:rPr>
          <w:b/>
        </w:rPr>
      </w:pPr>
      <w:r w:rsidRPr="008F1256">
        <w:rPr>
          <w:b/>
        </w:rPr>
        <w:t>For fur</w:t>
      </w:r>
      <w:r>
        <w:rPr>
          <w:b/>
        </w:rPr>
        <w:t>ther information please contact</w:t>
      </w:r>
    </w:p>
    <w:p w14:paraId="0A0D4F11" w14:textId="77777777" w:rsidR="008F1256" w:rsidRPr="008F1256" w:rsidRDefault="008F1256" w:rsidP="008F1256">
      <w:pPr>
        <w:keepNext/>
        <w:keepLines/>
        <w:suppressAutoHyphens/>
      </w:pPr>
      <w:r w:rsidRPr="008F1256">
        <w:t xml:space="preserve">Eve Landen, Taste &amp; Wellbeing </w:t>
      </w:r>
      <w:r>
        <w:t>Communications</w:t>
      </w:r>
    </w:p>
    <w:p w14:paraId="3B9F0683" w14:textId="77777777" w:rsidR="006017F3" w:rsidRDefault="008F1256" w:rsidP="008F1256">
      <w:pPr>
        <w:keepNext/>
        <w:keepLines/>
        <w:suppressAutoHyphens/>
        <w:rPr>
          <w:lang w:val="de-CH"/>
        </w:rPr>
      </w:pPr>
      <w:r w:rsidRPr="008F1256">
        <w:rPr>
          <w:b/>
          <w:lang w:val="de-CH"/>
        </w:rPr>
        <w:t>T</w:t>
      </w:r>
      <w:r w:rsidR="006017F3">
        <w:rPr>
          <w:lang w:val="de-CH"/>
        </w:rPr>
        <w:t xml:space="preserve"> +33 4 9023 7020</w:t>
      </w:r>
    </w:p>
    <w:p w14:paraId="5EC9970F" w14:textId="77777777" w:rsidR="008F1256" w:rsidRPr="008F1256" w:rsidRDefault="008F1256" w:rsidP="008F1256">
      <w:pPr>
        <w:keepNext/>
        <w:keepLines/>
        <w:suppressAutoHyphens/>
        <w:rPr>
          <w:lang w:val="de-CH"/>
        </w:rPr>
      </w:pPr>
      <w:r w:rsidRPr="008F1256">
        <w:rPr>
          <w:b/>
          <w:lang w:val="de-CH"/>
        </w:rPr>
        <w:t>E</w:t>
      </w:r>
      <w:r w:rsidRPr="008F1256">
        <w:rPr>
          <w:lang w:val="de-CH"/>
        </w:rPr>
        <w:t xml:space="preserve"> </w:t>
      </w:r>
      <w:hyperlink r:id="rId10" w:history="1">
        <w:r w:rsidRPr="008F1256">
          <w:rPr>
            <w:rStyle w:val="Hyperlink"/>
            <w:color w:val="018596" w:themeColor="accent2"/>
            <w:u w:val="none"/>
            <w:lang w:val="de-CH"/>
          </w:rPr>
          <w:t>eve.landen@givaudan.com</w:t>
        </w:r>
      </w:hyperlink>
    </w:p>
    <w:p w14:paraId="76B5164D" w14:textId="77777777" w:rsidR="008F1256" w:rsidRPr="008F1256" w:rsidRDefault="008F1256" w:rsidP="008F1256">
      <w:pPr>
        <w:keepNext/>
        <w:keepLines/>
        <w:suppressAutoHyphens/>
        <w:rPr>
          <w:lang w:val="de-CH"/>
        </w:rPr>
      </w:pPr>
    </w:p>
    <w:p w14:paraId="1C2591D8" w14:textId="77777777" w:rsidR="008F1256" w:rsidRPr="008F1256" w:rsidRDefault="008F1256" w:rsidP="008F1256">
      <w:pPr>
        <w:keepNext/>
        <w:keepLines/>
        <w:suppressAutoHyphens/>
        <w:rPr>
          <w:lang w:val="de-CH"/>
        </w:rPr>
      </w:pPr>
    </w:p>
    <w:p w14:paraId="6858C756" w14:textId="77777777" w:rsidR="008F1256" w:rsidRPr="008F1256" w:rsidRDefault="008F1256" w:rsidP="008F1256">
      <w:pPr>
        <w:keepNext/>
        <w:keepLines/>
        <w:suppressAutoHyphens/>
        <w:rPr>
          <w:lang w:val="de-CH"/>
        </w:rPr>
      </w:pPr>
    </w:p>
    <w:p w14:paraId="30E40D1A" w14:textId="77777777" w:rsidR="008F1256" w:rsidRPr="008F1256" w:rsidRDefault="008F1256" w:rsidP="008F1256">
      <w:pPr>
        <w:keepNext/>
        <w:keepLines/>
        <w:suppressAutoHyphens/>
        <w:rPr>
          <w:lang w:val="de-CH"/>
        </w:rPr>
      </w:pPr>
    </w:p>
    <w:p w14:paraId="37D776A3" w14:textId="77777777" w:rsidR="00152789" w:rsidRPr="008F1256" w:rsidRDefault="00152789" w:rsidP="008F1256">
      <w:pPr>
        <w:rPr>
          <w:lang w:val="de-CH"/>
        </w:rPr>
      </w:pPr>
    </w:p>
    <w:p w14:paraId="5FEF1D09" w14:textId="77777777" w:rsidR="008F1256" w:rsidRPr="008F1256" w:rsidRDefault="008F1256" w:rsidP="008F1256">
      <w:pPr>
        <w:rPr>
          <w:lang w:val="de-CH"/>
        </w:rPr>
      </w:pPr>
    </w:p>
    <w:sectPr w:rsidR="008F1256" w:rsidRPr="008F1256" w:rsidSect="00DC0438">
      <w:headerReference w:type="default" r:id="rId11"/>
      <w:footerReference w:type="default" r:id="rId12"/>
      <w:headerReference w:type="first" r:id="rId13"/>
      <w:footerReference w:type="first" r:id="rId14"/>
      <w:pgSz w:w="11906" w:h="16838" w:code="9"/>
      <w:pgMar w:top="2965" w:right="1814" w:bottom="2211" w:left="1588" w:header="567"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4DC2" w14:textId="77777777" w:rsidR="00DB7FEF" w:rsidRDefault="00DB7FEF" w:rsidP="001F10CC">
      <w:pPr>
        <w:spacing w:line="240" w:lineRule="auto"/>
      </w:pPr>
      <w:r>
        <w:separator/>
      </w:r>
    </w:p>
  </w:endnote>
  <w:endnote w:type="continuationSeparator" w:id="0">
    <w:p w14:paraId="20848F02" w14:textId="77777777" w:rsidR="00DB7FEF" w:rsidRDefault="00DB7FEF"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9BCD" w14:textId="77777777" w:rsidR="00464318" w:rsidRDefault="00464318">
    <w:pPr>
      <w:pStyle w:val="Footer"/>
    </w:pPr>
  </w:p>
  <w:p w14:paraId="4EBCCCDB" w14:textId="4FEC4486" w:rsidR="00464318" w:rsidRDefault="00811AF7" w:rsidP="004E4B20">
    <w:pPr>
      <w:pStyle w:val="Seitenzahlfeld"/>
      <w:framePr w:wrap="around"/>
    </w:pPr>
    <w:r>
      <w:fldChar w:fldCharType="begin"/>
    </w:r>
    <w:r>
      <w:instrText xml:space="preserve"> PAGE   \* MERGEFORMAT </w:instrText>
    </w:r>
    <w:r>
      <w:fldChar w:fldCharType="separate"/>
    </w:r>
    <w:r w:rsidR="006017F3">
      <w:rPr>
        <w:noProof/>
      </w:rPr>
      <w:t>2</w:t>
    </w:r>
    <w:r>
      <w:rPr>
        <w:noProof/>
      </w:rPr>
      <w:fldChar w:fldCharType="end"/>
    </w:r>
    <w:r w:rsidR="00464318">
      <w:t>/</w:t>
    </w:r>
    <w:fldSimple w:instr=" SECTIONPAGES   \* MERGEFORMAT ">
      <w:r w:rsidR="0044040E">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F29C" w14:textId="77777777" w:rsidR="008F1256" w:rsidRDefault="008F1256" w:rsidP="008F1256">
    <w:pPr>
      <w:rPr>
        <w:b/>
        <w:color w:val="00B4B2"/>
      </w:rPr>
    </w:pPr>
  </w:p>
  <w:p w14:paraId="60C51EE4" w14:textId="77777777" w:rsidR="008F1256" w:rsidRPr="007B46EC" w:rsidRDefault="008F1256" w:rsidP="008F1256">
    <w:pPr>
      <w:rPr>
        <w:b/>
        <w:color w:val="00B4B2"/>
        <w:lang w:val="fr-FR"/>
      </w:rPr>
    </w:pPr>
    <w:r>
      <w:rPr>
        <w:b/>
        <w:noProof/>
        <w:color w:val="00B4B2"/>
        <w:lang w:eastAsia="en-GB"/>
      </w:rPr>
      <w:drawing>
        <wp:inline distT="0" distB="0" distL="0" distR="0" wp14:anchorId="606F7D92" wp14:editId="30313C9B">
          <wp:extent cx="172500" cy="180000"/>
          <wp:effectExtent l="0" t="0" r="0" b="0"/>
          <wp:docPr id="185" name="image2.png" descr="LinkedIn"/>
          <wp:cNvGraphicFramePr/>
          <a:graphic xmlns:a="http://schemas.openxmlformats.org/drawingml/2006/main">
            <a:graphicData uri="http://schemas.openxmlformats.org/drawingml/2006/picture">
              <pic:pic xmlns:pic="http://schemas.openxmlformats.org/drawingml/2006/picture">
                <pic:nvPicPr>
                  <pic:cNvPr id="0" name="image2.png" descr="LinkedIn"/>
                  <pic:cNvPicPr preferRelativeResize="0"/>
                </pic:nvPicPr>
                <pic:blipFill>
                  <a:blip r:embed="rId1"/>
                  <a:srcRect/>
                  <a:stretch>
                    <a:fillRect/>
                  </a:stretch>
                </pic:blipFill>
                <pic:spPr>
                  <a:xfrm>
                    <a:off x="0" y="0"/>
                    <a:ext cx="172500" cy="180000"/>
                  </a:xfrm>
                  <a:prstGeom prst="rect">
                    <a:avLst/>
                  </a:prstGeom>
                  <a:ln/>
                </pic:spPr>
              </pic:pic>
            </a:graphicData>
          </a:graphic>
        </wp:inline>
      </w:drawing>
    </w:r>
    <w:r w:rsidRPr="007B46EC">
      <w:rPr>
        <w:b/>
        <w:color w:val="00B4B2"/>
        <w:lang w:val="fr-FR"/>
      </w:rPr>
      <w:t xml:space="preserve"> </w:t>
    </w:r>
    <w:r>
      <w:rPr>
        <w:b/>
        <w:noProof/>
        <w:color w:val="00B4B2"/>
        <w:lang w:eastAsia="en-GB"/>
      </w:rPr>
      <w:drawing>
        <wp:inline distT="0" distB="0" distL="0" distR="0" wp14:anchorId="6BEED5BB" wp14:editId="448A5574">
          <wp:extent cx="180000" cy="180000"/>
          <wp:effectExtent l="0" t="0" r="0" b="0"/>
          <wp:docPr id="186" name="image7.png" descr="Twitter"/>
          <wp:cNvGraphicFramePr/>
          <a:graphic xmlns:a="http://schemas.openxmlformats.org/drawingml/2006/main">
            <a:graphicData uri="http://schemas.openxmlformats.org/drawingml/2006/picture">
              <pic:pic xmlns:pic="http://schemas.openxmlformats.org/drawingml/2006/picture">
                <pic:nvPicPr>
                  <pic:cNvPr id="0" name="image7.png" descr="Twitter"/>
                  <pic:cNvPicPr preferRelativeResize="0"/>
                </pic:nvPicPr>
                <pic:blipFill>
                  <a:blip r:embed="rId2"/>
                  <a:srcRect/>
                  <a:stretch>
                    <a:fillRect/>
                  </a:stretch>
                </pic:blipFill>
                <pic:spPr>
                  <a:xfrm>
                    <a:off x="0" y="0"/>
                    <a:ext cx="180000" cy="180000"/>
                  </a:xfrm>
                  <a:prstGeom prst="rect">
                    <a:avLst/>
                  </a:prstGeom>
                  <a:ln/>
                </pic:spPr>
              </pic:pic>
            </a:graphicData>
          </a:graphic>
        </wp:inline>
      </w:drawing>
    </w:r>
    <w:r w:rsidRPr="007B46EC">
      <w:rPr>
        <w:b/>
        <w:color w:val="00B4B2"/>
        <w:lang w:val="fr-FR"/>
      </w:rPr>
      <w:t xml:space="preserve"> </w:t>
    </w:r>
    <w:r>
      <w:rPr>
        <w:b/>
        <w:noProof/>
        <w:color w:val="00B4B2"/>
        <w:lang w:eastAsia="en-GB"/>
      </w:rPr>
      <w:drawing>
        <wp:inline distT="0" distB="0" distL="0" distR="0" wp14:anchorId="09FD19FC" wp14:editId="4DDAA007">
          <wp:extent cx="180000" cy="180000"/>
          <wp:effectExtent l="0" t="0" r="0" b="0"/>
          <wp:docPr id="187" name="image1.png" descr="Facebook"/>
          <wp:cNvGraphicFramePr/>
          <a:graphic xmlns:a="http://schemas.openxmlformats.org/drawingml/2006/main">
            <a:graphicData uri="http://schemas.openxmlformats.org/drawingml/2006/picture">
              <pic:pic xmlns:pic="http://schemas.openxmlformats.org/drawingml/2006/picture">
                <pic:nvPicPr>
                  <pic:cNvPr id="0" name="image1.png" descr="Facebook"/>
                  <pic:cNvPicPr preferRelativeResize="0"/>
                </pic:nvPicPr>
                <pic:blipFill>
                  <a:blip r:embed="rId3"/>
                  <a:srcRect/>
                  <a:stretch>
                    <a:fillRect/>
                  </a:stretch>
                </pic:blipFill>
                <pic:spPr>
                  <a:xfrm>
                    <a:off x="0" y="0"/>
                    <a:ext cx="180000" cy="180000"/>
                  </a:xfrm>
                  <a:prstGeom prst="rect">
                    <a:avLst/>
                  </a:prstGeom>
                  <a:ln/>
                </pic:spPr>
              </pic:pic>
            </a:graphicData>
          </a:graphic>
        </wp:inline>
      </w:drawing>
    </w:r>
    <w:r w:rsidRPr="007B46EC">
      <w:rPr>
        <w:b/>
        <w:color w:val="00B4B2"/>
        <w:lang w:val="fr-FR"/>
      </w:rPr>
      <w:t xml:space="preserve"> </w:t>
    </w:r>
    <w:r>
      <w:rPr>
        <w:b/>
        <w:noProof/>
        <w:color w:val="00B4B2"/>
        <w:lang w:eastAsia="en-GB"/>
      </w:rPr>
      <w:drawing>
        <wp:inline distT="0" distB="0" distL="0" distR="0" wp14:anchorId="573A1152" wp14:editId="69B75C64">
          <wp:extent cx="172500" cy="180000"/>
          <wp:effectExtent l="0" t="0" r="0" b="0"/>
          <wp:docPr id="188" name="image6.png" descr="Instagram"/>
          <wp:cNvGraphicFramePr/>
          <a:graphic xmlns:a="http://schemas.openxmlformats.org/drawingml/2006/main">
            <a:graphicData uri="http://schemas.openxmlformats.org/drawingml/2006/picture">
              <pic:pic xmlns:pic="http://schemas.openxmlformats.org/drawingml/2006/picture">
                <pic:nvPicPr>
                  <pic:cNvPr id="0" name="image6.png" descr="Instagram"/>
                  <pic:cNvPicPr preferRelativeResize="0"/>
                </pic:nvPicPr>
                <pic:blipFill>
                  <a:blip r:embed="rId4"/>
                  <a:srcRect/>
                  <a:stretch>
                    <a:fillRect/>
                  </a:stretch>
                </pic:blipFill>
                <pic:spPr>
                  <a:xfrm>
                    <a:off x="0" y="0"/>
                    <a:ext cx="172500" cy="180000"/>
                  </a:xfrm>
                  <a:prstGeom prst="rect">
                    <a:avLst/>
                  </a:prstGeom>
                  <a:ln/>
                </pic:spPr>
              </pic:pic>
            </a:graphicData>
          </a:graphic>
        </wp:inline>
      </w:drawing>
    </w:r>
    <w:r w:rsidRPr="007B46EC">
      <w:rPr>
        <w:b/>
        <w:color w:val="00B4B2"/>
        <w:lang w:val="fr-FR"/>
      </w:rPr>
      <w:t xml:space="preserve"> </w:t>
    </w:r>
    <w:r>
      <w:rPr>
        <w:b/>
        <w:noProof/>
        <w:color w:val="00B4B2"/>
        <w:lang w:eastAsia="en-GB"/>
      </w:rPr>
      <w:drawing>
        <wp:inline distT="0" distB="0" distL="0" distR="0" wp14:anchorId="3A604DDB" wp14:editId="1B97A91F">
          <wp:extent cx="180000" cy="180000"/>
          <wp:effectExtent l="0" t="0" r="0" b="0"/>
          <wp:docPr id="189" name="image5.png" descr="YouTube"/>
          <wp:cNvGraphicFramePr/>
          <a:graphic xmlns:a="http://schemas.openxmlformats.org/drawingml/2006/main">
            <a:graphicData uri="http://schemas.openxmlformats.org/drawingml/2006/picture">
              <pic:pic xmlns:pic="http://schemas.openxmlformats.org/drawingml/2006/picture">
                <pic:nvPicPr>
                  <pic:cNvPr id="0" name="image5.png" descr="YouTube"/>
                  <pic:cNvPicPr preferRelativeResize="0"/>
                </pic:nvPicPr>
                <pic:blipFill>
                  <a:blip r:embed="rId5"/>
                  <a:srcRect/>
                  <a:stretch>
                    <a:fillRect/>
                  </a:stretch>
                </pic:blipFill>
                <pic:spPr>
                  <a:xfrm>
                    <a:off x="0" y="0"/>
                    <a:ext cx="180000" cy="180000"/>
                  </a:xfrm>
                  <a:prstGeom prst="rect">
                    <a:avLst/>
                  </a:prstGeom>
                  <a:ln/>
                </pic:spPr>
              </pic:pic>
            </a:graphicData>
          </a:graphic>
        </wp:inline>
      </w:drawing>
    </w:r>
  </w:p>
  <w:p w14:paraId="053EF0F7" w14:textId="77777777" w:rsidR="00464318" w:rsidRPr="00152789" w:rsidRDefault="00464318" w:rsidP="00917D29">
    <w:pPr>
      <w:pStyle w:val="BusinessData"/>
      <w:rPr>
        <w:lang w:val="fr-FR"/>
      </w:rPr>
    </w:pPr>
    <w:r w:rsidRPr="00152789">
      <w:rPr>
        <w:lang w:val="fr-FR"/>
      </w:rPr>
      <w:t xml:space="preserve">Givaudan </w:t>
    </w:r>
    <w:r w:rsidR="00D832BA">
      <w:rPr>
        <w:lang w:val="fr-FR"/>
      </w:rPr>
      <w:t>International</w:t>
    </w:r>
    <w:r w:rsidR="00D832BA" w:rsidRPr="00152789">
      <w:rPr>
        <w:lang w:val="fr-FR"/>
      </w:rPr>
      <w:t xml:space="preserve"> </w:t>
    </w:r>
    <w:r w:rsidRPr="00152789">
      <w:rPr>
        <w:lang w:val="fr-FR"/>
      </w:rPr>
      <w:t>SA, Chemin de la Parfumerie 5, 1214 Vernier, Switzerland</w:t>
    </w:r>
  </w:p>
  <w:p w14:paraId="5AAEE8EE" w14:textId="77777777" w:rsidR="00464318" w:rsidRDefault="00477F37" w:rsidP="00917D29">
    <w:pPr>
      <w:pStyle w:val="BusinessData"/>
    </w:pPr>
    <w:r>
      <w:t>Phone: +41 22 780 91 11, Fax: +41 22 780</w:t>
    </w:r>
    <w:r w:rsidR="00464318">
      <w:t xml:space="preserve"> 91 50, Web: </w:t>
    </w:r>
    <w:hyperlink r:id="rId6" w:history="1">
      <w:r w:rsidR="00464318" w:rsidRPr="00760FD4">
        <w:rPr>
          <w:rStyle w:val="Hyperlink"/>
          <w:u w:val="none"/>
        </w:rPr>
        <w:t>www.givaudan.com</w:t>
      </w:r>
    </w:hyperlink>
  </w:p>
  <w:p w14:paraId="032ACAF5" w14:textId="13B60834" w:rsidR="00464318" w:rsidRPr="00DE489F" w:rsidRDefault="00811AF7" w:rsidP="0033675B">
    <w:pPr>
      <w:pStyle w:val="Seitenzahlfeld"/>
      <w:framePr w:wrap="around" w:y="15866"/>
    </w:pPr>
    <w:r>
      <w:fldChar w:fldCharType="begin"/>
    </w:r>
    <w:r>
      <w:instrText xml:space="preserve"> PAGE   \* MERGEFORMAT </w:instrText>
    </w:r>
    <w:r>
      <w:fldChar w:fldCharType="separate"/>
    </w:r>
    <w:r w:rsidR="006017F3">
      <w:rPr>
        <w:noProof/>
      </w:rPr>
      <w:t>1</w:t>
    </w:r>
    <w:r>
      <w:rPr>
        <w:noProof/>
      </w:rPr>
      <w:fldChar w:fldCharType="end"/>
    </w:r>
    <w:r w:rsidR="00464318" w:rsidRPr="00DE489F">
      <w:t>/</w:t>
    </w:r>
    <w:fldSimple w:instr=" SECTIONPAGES   \* MERGEFORMAT ">
      <w:r w:rsidR="0044040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1A196" w14:textId="77777777" w:rsidR="00DB7FEF" w:rsidRDefault="00DB7FEF" w:rsidP="001F10CC">
      <w:pPr>
        <w:spacing w:line="240" w:lineRule="auto"/>
      </w:pPr>
      <w:r>
        <w:separator/>
      </w:r>
    </w:p>
  </w:footnote>
  <w:footnote w:type="continuationSeparator" w:id="0">
    <w:p w14:paraId="58B59AB3" w14:textId="77777777" w:rsidR="00DB7FEF" w:rsidRDefault="00DB7FEF"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C619" w14:textId="77777777" w:rsidR="00464318" w:rsidRDefault="00464318">
    <w:pPr>
      <w:pStyle w:val="Header"/>
    </w:pPr>
  </w:p>
  <w:p w14:paraId="5B6F5585" w14:textId="77777777" w:rsidR="00464318" w:rsidRDefault="009C0EF7" w:rsidP="001F10CC">
    <w:pPr>
      <w:pStyle w:val="zzPreprint"/>
      <w:framePr w:wrap="around"/>
    </w:pPr>
    <w:r w:rsidRPr="009C0EF7">
      <w:rPr>
        <w:noProof/>
        <w:lang w:eastAsia="en-GB"/>
      </w:rPr>
      <w:drawing>
        <wp:anchor distT="0" distB="0" distL="114300" distR="114300" simplePos="0" relativeHeight="251665408" behindDoc="0" locked="1" layoutInCell="1" allowOverlap="1" wp14:anchorId="19B8D476" wp14:editId="62BB6837">
          <wp:simplePos x="0" y="0"/>
          <wp:positionH relativeFrom="page">
            <wp:posOffset>6305550</wp:posOffset>
          </wp:positionH>
          <wp:positionV relativeFrom="page">
            <wp:posOffset>504825</wp:posOffset>
          </wp:positionV>
          <wp:extent cx="756285" cy="756285"/>
          <wp:effectExtent l="0" t="0" r="5715" b="5715"/>
          <wp:wrapNone/>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LM_P02_RGB_medium.png"/>
                  <pic:cNvPicPr/>
                </pic:nvPicPr>
                <pic:blipFill>
                  <a:blip r:embed="rId1">
                    <a:extLst>
                      <a:ext uri="{28A0092B-C50C-407E-A947-70E740481C1C}">
                        <a14:useLocalDpi xmlns:a14="http://schemas.microsoft.com/office/drawing/2010/main" val="0"/>
                      </a:ext>
                    </a:extLst>
                  </a:blip>
                  <a:stretch>
                    <a:fillRect/>
                  </a:stretch>
                </pic:blipFill>
                <pic:spPr>
                  <a:xfrm>
                    <a:off x="0" y="0"/>
                    <a:ext cx="756285" cy="756285"/>
                  </a:xfrm>
                  <a:prstGeom prst="rect">
                    <a:avLst/>
                  </a:prstGeom>
                </pic:spPr>
              </pic:pic>
            </a:graphicData>
          </a:graphic>
        </wp:anchor>
      </w:drawing>
    </w:r>
    <w:r w:rsidR="00464318" w:rsidRPr="00867735">
      <w:rPr>
        <w:noProof/>
        <w:lang w:eastAsia="en-GB"/>
      </w:rPr>
      <w:drawing>
        <wp:anchor distT="0" distB="0" distL="114300" distR="114300" simplePos="0" relativeHeight="251662336" behindDoc="0" locked="1" layoutInCell="1" allowOverlap="1" wp14:anchorId="4A99EC68" wp14:editId="4522D9A2">
          <wp:simplePos x="0" y="0"/>
          <wp:positionH relativeFrom="margin">
            <wp:posOffset>124460</wp:posOffset>
          </wp:positionH>
          <wp:positionV relativeFrom="page">
            <wp:posOffset>612140</wp:posOffset>
          </wp:positionV>
          <wp:extent cx="1076325" cy="361950"/>
          <wp:effectExtent l="0" t="0" r="0" b="0"/>
          <wp:wrapNone/>
          <wp:docPr id="2" name="Grafik 0" descr="GIV_LT_B_RGB 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LT_B_RGB WMF.wmf"/>
                  <pic:cNvPicPr/>
                </pic:nvPicPr>
                <pic:blipFill>
                  <a:blip r:embed="rId2"/>
                  <a:stretch>
                    <a:fillRect/>
                  </a:stretch>
                </pic:blipFill>
                <pic:spPr>
                  <a:xfrm>
                    <a:off x="0" y="0"/>
                    <a:ext cx="1076325" cy="361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9889" w14:textId="77777777" w:rsidR="00464318" w:rsidRPr="00012122" w:rsidRDefault="009C0EF7" w:rsidP="007E7B56">
    <w:pPr>
      <w:pStyle w:val="zzPreprint"/>
      <w:framePr w:wrap="around"/>
    </w:pPr>
    <w:r>
      <w:rPr>
        <w:noProof/>
        <w:lang w:eastAsia="en-GB"/>
      </w:rPr>
      <w:drawing>
        <wp:anchor distT="0" distB="0" distL="114300" distR="114300" simplePos="0" relativeHeight="251663360" behindDoc="0" locked="1" layoutInCell="1" allowOverlap="1" wp14:anchorId="78C6D063" wp14:editId="7E354CC3">
          <wp:simplePos x="0" y="0"/>
          <wp:positionH relativeFrom="page">
            <wp:posOffset>6305550</wp:posOffset>
          </wp:positionH>
          <wp:positionV relativeFrom="page">
            <wp:posOffset>504825</wp:posOffset>
          </wp:positionV>
          <wp:extent cx="756285" cy="756285"/>
          <wp:effectExtent l="0" t="0" r="5715"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LM_P02_RGB_medium.png"/>
                  <pic:cNvPicPr/>
                </pic:nvPicPr>
                <pic:blipFill>
                  <a:blip r:embed="rId1">
                    <a:extLst>
                      <a:ext uri="{28A0092B-C50C-407E-A947-70E740481C1C}">
                        <a14:useLocalDpi xmlns:a14="http://schemas.microsoft.com/office/drawing/2010/main" val="0"/>
                      </a:ext>
                    </a:extLst>
                  </a:blip>
                  <a:stretch>
                    <a:fillRect/>
                  </a:stretch>
                </pic:blipFill>
                <pic:spPr>
                  <a:xfrm>
                    <a:off x="0" y="0"/>
                    <a:ext cx="756285" cy="756285"/>
                  </a:xfrm>
                  <a:prstGeom prst="rect">
                    <a:avLst/>
                  </a:prstGeom>
                </pic:spPr>
              </pic:pic>
            </a:graphicData>
          </a:graphic>
        </wp:anchor>
      </w:drawing>
    </w:r>
    <w:r w:rsidR="00464318">
      <w:rPr>
        <w:noProof/>
        <w:lang w:eastAsia="en-GB"/>
      </w:rPr>
      <w:drawing>
        <wp:anchor distT="0" distB="0" distL="114300" distR="114300" simplePos="0" relativeHeight="251660288" behindDoc="0" locked="1" layoutInCell="1" allowOverlap="1" wp14:anchorId="5DCEDD22" wp14:editId="65637F52">
          <wp:simplePos x="0" y="0"/>
          <wp:positionH relativeFrom="margin">
            <wp:posOffset>106045</wp:posOffset>
          </wp:positionH>
          <wp:positionV relativeFrom="page">
            <wp:posOffset>612140</wp:posOffset>
          </wp:positionV>
          <wp:extent cx="1076325" cy="361950"/>
          <wp:effectExtent l="0" t="0" r="0" b="0"/>
          <wp:wrapNone/>
          <wp:docPr id="1" name="Grafik 0" descr="GIV_LT_B_RGB 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_LT_B_RGB WMF.wmf"/>
                  <pic:cNvPicPr/>
                </pic:nvPicPr>
                <pic:blipFill>
                  <a:blip r:embed="rId2"/>
                  <a:stretch>
                    <a:fillRect/>
                  </a:stretch>
                </pic:blipFill>
                <pic:spPr>
                  <a:xfrm>
                    <a:off x="0" y="0"/>
                    <a:ext cx="1076325" cy="361950"/>
                  </a:xfrm>
                  <a:prstGeom prst="rect">
                    <a:avLst/>
                  </a:prstGeom>
                </pic:spPr>
              </pic:pic>
            </a:graphicData>
          </a:graphic>
        </wp:anchor>
      </w:drawing>
    </w:r>
  </w:p>
  <w:p w14:paraId="60729ACE" w14:textId="77777777" w:rsidR="00464318" w:rsidRDefault="00464318" w:rsidP="0016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B83"/>
    <w:multiLevelType w:val="multilevel"/>
    <w:tmpl w:val="AC84B238"/>
    <w:lvl w:ilvl="0">
      <w:start w:val="1"/>
      <w:numFmt w:val="bullet"/>
      <w:lvlText w:val="–"/>
      <w:lvlJc w:val="left"/>
      <w:pPr>
        <w:tabs>
          <w:tab w:val="num" w:pos="284"/>
        </w:tabs>
        <w:ind w:left="255" w:hanging="255"/>
      </w:pPr>
      <w:rPr>
        <w:rFonts w:ascii="Verdana" w:hAnsi="Verdana" w:hint="default"/>
      </w:rPr>
    </w:lvl>
    <w:lvl w:ilvl="1">
      <w:start w:val="1"/>
      <w:numFmt w:val="bullet"/>
      <w:lvlText w:val="–"/>
      <w:lvlJc w:val="left"/>
      <w:pPr>
        <w:tabs>
          <w:tab w:val="num" w:pos="568"/>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C9A3509"/>
    <w:multiLevelType w:val="multilevel"/>
    <w:tmpl w:val="519AE220"/>
    <w:numStyleLink w:val="ConclusionList"/>
  </w:abstractNum>
  <w:abstractNum w:abstractNumId="2" w15:restartNumberingAfterBreak="0">
    <w:nsid w:val="0F706678"/>
    <w:multiLevelType w:val="multilevel"/>
    <w:tmpl w:val="DFBEF8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D5048"/>
    <w:multiLevelType w:val="multilevel"/>
    <w:tmpl w:val="51CA4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D552BD"/>
    <w:multiLevelType w:val="multilevel"/>
    <w:tmpl w:val="BD0ABB0A"/>
    <w:lvl w:ilvl="0">
      <w:start w:val="1"/>
      <w:numFmt w:val="bullet"/>
      <w:lvlText w:val="–"/>
      <w:lvlJc w:val="left"/>
      <w:pPr>
        <w:tabs>
          <w:tab w:val="num" w:pos="255"/>
        </w:tabs>
        <w:ind w:left="255" w:hanging="255"/>
      </w:pPr>
      <w:rPr>
        <w:rFonts w:ascii="Verdana" w:hAnsi="Verdana" w:hint="default"/>
      </w:rPr>
    </w:lvl>
    <w:lvl w:ilvl="1">
      <w:start w:val="1"/>
      <w:numFmt w:val="bullet"/>
      <w:lvlText w:val="–"/>
      <w:lvlJc w:val="left"/>
      <w:pPr>
        <w:tabs>
          <w:tab w:val="num" w:pos="255"/>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6" w15:restartNumberingAfterBreak="0">
    <w:nsid w:val="1BA77F61"/>
    <w:multiLevelType w:val="multilevel"/>
    <w:tmpl w:val="545CCAE6"/>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23291B82"/>
    <w:multiLevelType w:val="multilevel"/>
    <w:tmpl w:val="13B8D820"/>
    <w:styleLink w:val="NumberedList"/>
    <w:lvl w:ilvl="0">
      <w:start w:val="1"/>
      <w:numFmt w:val="decimal"/>
      <w:pStyle w:val="ListNumber"/>
      <w:lvlText w:val="%1."/>
      <w:lvlJc w:val="left"/>
      <w:pPr>
        <w:tabs>
          <w:tab w:val="num" w:pos="255"/>
        </w:tabs>
        <w:ind w:left="255" w:hanging="255"/>
      </w:pPr>
      <w:rPr>
        <w:rFonts w:hint="default"/>
      </w:rPr>
    </w:lvl>
    <w:lvl w:ilvl="1">
      <w:start w:val="1"/>
      <w:numFmt w:val="lowerLetter"/>
      <w:lvlText w:val="%2)"/>
      <w:lvlJc w:val="left"/>
      <w:pPr>
        <w:tabs>
          <w:tab w:val="num" w:pos="255"/>
        </w:tabs>
        <w:ind w:left="510" w:hanging="255"/>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260E3397"/>
    <w:multiLevelType w:val="multilevel"/>
    <w:tmpl w:val="94EEFDBA"/>
    <w:styleLink w:val="ItemList"/>
    <w:lvl w:ilvl="0">
      <w:start w:val="1"/>
      <w:numFmt w:val="bullet"/>
      <w:pStyle w:val="ListBullet"/>
      <w:lvlText w:val="–"/>
      <w:lvlJc w:val="left"/>
      <w:pPr>
        <w:tabs>
          <w:tab w:val="num" w:pos="255"/>
        </w:tabs>
        <w:ind w:left="255" w:hanging="255"/>
      </w:pPr>
      <w:rPr>
        <w:rFonts w:ascii="Times New Roman" w:hAnsi="Times New Roman" w:cs="Times New Roman" w:hint="default"/>
      </w:rPr>
    </w:lvl>
    <w:lvl w:ilvl="1">
      <w:start w:val="1"/>
      <w:numFmt w:val="bullet"/>
      <w:lvlText w:val="–"/>
      <w:lvlJc w:val="left"/>
      <w:pPr>
        <w:tabs>
          <w:tab w:val="num" w:pos="255"/>
        </w:tabs>
        <w:ind w:left="510" w:hanging="255"/>
      </w:pPr>
      <w:rPr>
        <w:rFonts w:ascii="Times New Roman" w:hAnsi="Times New Roman" w:cs="Times New Roman"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C614084"/>
    <w:multiLevelType w:val="multilevel"/>
    <w:tmpl w:val="6CA44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2B67F5"/>
    <w:multiLevelType w:val="multilevel"/>
    <w:tmpl w:val="519AE220"/>
    <w:numStyleLink w:val="ConclusionList"/>
  </w:abstractNum>
  <w:abstractNum w:abstractNumId="11" w15:restartNumberingAfterBreak="0">
    <w:nsid w:val="42487CFA"/>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9700AE"/>
    <w:multiLevelType w:val="multilevel"/>
    <w:tmpl w:val="519AE220"/>
    <w:styleLink w:val="ConclusionList"/>
    <w:lvl w:ilvl="0">
      <w:start w:val="1"/>
      <w:numFmt w:val="bullet"/>
      <w:pStyle w:val="Schlussfolgerung"/>
      <w:lvlText w:val=""/>
      <w:lvlJc w:val="left"/>
      <w:pPr>
        <w:tabs>
          <w:tab w:val="num" w:pos="255"/>
        </w:tabs>
        <w:ind w:left="255" w:hanging="255"/>
      </w:pPr>
      <w:rPr>
        <w:rFonts w:ascii="Wingdings 3" w:hAnsi="Wingdings 3" w:hint="default"/>
      </w:rPr>
    </w:lvl>
    <w:lvl w:ilvl="1">
      <w:start w:val="1"/>
      <w:numFmt w:val="bullet"/>
      <w:lvlText w:val=""/>
      <w:lvlJc w:val="left"/>
      <w:pPr>
        <w:tabs>
          <w:tab w:val="num" w:pos="510"/>
        </w:tabs>
        <w:ind w:left="510" w:hanging="255"/>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C2A38CB"/>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4E2A6F89"/>
    <w:multiLevelType w:val="multilevel"/>
    <w:tmpl w:val="519AE220"/>
    <w:numStyleLink w:val="ConclusionList"/>
  </w:abstractNum>
  <w:abstractNum w:abstractNumId="15" w15:restartNumberingAfterBreak="0">
    <w:nsid w:val="59167723"/>
    <w:multiLevelType w:val="multilevel"/>
    <w:tmpl w:val="519AE220"/>
    <w:numStyleLink w:val="ConclusionList"/>
  </w:abstractNum>
  <w:abstractNum w:abstractNumId="16" w15:restartNumberingAfterBreak="0">
    <w:nsid w:val="62E54371"/>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310249"/>
    <w:multiLevelType w:val="multilevel"/>
    <w:tmpl w:val="13B8D820"/>
    <w:numStyleLink w:val="NumberedList"/>
  </w:abstractNum>
  <w:abstractNum w:abstractNumId="18" w15:restartNumberingAfterBreak="0">
    <w:nsid w:val="656B01EB"/>
    <w:multiLevelType w:val="multilevel"/>
    <w:tmpl w:val="13B8D820"/>
    <w:numStyleLink w:val="NumberedList"/>
  </w:abstractNum>
  <w:abstractNum w:abstractNumId="19"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9E5EA4"/>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1" w15:restartNumberingAfterBreak="0">
    <w:nsid w:val="783A0FE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AC1F2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9"/>
  </w:num>
  <w:num w:numId="4">
    <w:abstractNumId w:val="2"/>
  </w:num>
  <w:num w:numId="5">
    <w:abstractNumId w:val="12"/>
  </w:num>
  <w:num w:numId="6">
    <w:abstractNumId w:val="21"/>
  </w:num>
  <w:num w:numId="7">
    <w:abstractNumId w:val="22"/>
  </w:num>
  <w:num w:numId="8">
    <w:abstractNumId w:val="11"/>
  </w:num>
  <w:num w:numId="9">
    <w:abstractNumId w:val="14"/>
  </w:num>
  <w:num w:numId="10">
    <w:abstractNumId w:val="19"/>
  </w:num>
  <w:num w:numId="11">
    <w:abstractNumId w:val="16"/>
  </w:num>
  <w:num w:numId="12">
    <w:abstractNumId w:val="4"/>
  </w:num>
  <w:num w:numId="13">
    <w:abstractNumId w:val="1"/>
  </w:num>
  <w:num w:numId="14">
    <w:abstractNumId w:val="3"/>
  </w:num>
  <w:num w:numId="15">
    <w:abstractNumId w:val="6"/>
  </w:num>
  <w:num w:numId="16">
    <w:abstractNumId w:val="0"/>
  </w:num>
  <w:num w:numId="17">
    <w:abstractNumId w:val="13"/>
  </w:num>
  <w:num w:numId="18">
    <w:abstractNumId w:val="5"/>
  </w:num>
  <w:num w:numId="19">
    <w:abstractNumId w:val="20"/>
  </w:num>
  <w:num w:numId="20">
    <w:abstractNumId w:val="8"/>
  </w:num>
  <w:num w:numId="21">
    <w:abstractNumId w:val="7"/>
  </w:num>
  <w:num w:numId="22">
    <w:abstractNumId w:val="12"/>
  </w:num>
  <w:num w:numId="23">
    <w:abstractNumId w:val="15"/>
  </w:num>
  <w:num w:numId="24">
    <w:abstractNumId w:val="18"/>
  </w:num>
  <w:num w:numId="25">
    <w:abstractNumId w:val="17"/>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56"/>
    <w:rsid w:val="00001506"/>
    <w:rsid w:val="00003F00"/>
    <w:rsid w:val="00012122"/>
    <w:rsid w:val="00032B92"/>
    <w:rsid w:val="00034C65"/>
    <w:rsid w:val="0008259C"/>
    <w:rsid w:val="00082633"/>
    <w:rsid w:val="00082E04"/>
    <w:rsid w:val="00090D8F"/>
    <w:rsid w:val="000B5EBD"/>
    <w:rsid w:val="000D36F0"/>
    <w:rsid w:val="000F18AF"/>
    <w:rsid w:val="001229F5"/>
    <w:rsid w:val="0013465A"/>
    <w:rsid w:val="00152789"/>
    <w:rsid w:val="00166BE7"/>
    <w:rsid w:val="00166C34"/>
    <w:rsid w:val="00167031"/>
    <w:rsid w:val="00167308"/>
    <w:rsid w:val="00170956"/>
    <w:rsid w:val="001716A3"/>
    <w:rsid w:val="00192AAD"/>
    <w:rsid w:val="001A54AA"/>
    <w:rsid w:val="001B23C8"/>
    <w:rsid w:val="001B6035"/>
    <w:rsid w:val="001C77EE"/>
    <w:rsid w:val="001F10CC"/>
    <w:rsid w:val="001F4FAA"/>
    <w:rsid w:val="002159BC"/>
    <w:rsid w:val="002209B2"/>
    <w:rsid w:val="00222B83"/>
    <w:rsid w:val="00237197"/>
    <w:rsid w:val="002435C0"/>
    <w:rsid w:val="00247D5A"/>
    <w:rsid w:val="0025525C"/>
    <w:rsid w:val="002649DE"/>
    <w:rsid w:val="0027078C"/>
    <w:rsid w:val="00272B18"/>
    <w:rsid w:val="002730A2"/>
    <w:rsid w:val="002A033B"/>
    <w:rsid w:val="002C2035"/>
    <w:rsid w:val="002C564B"/>
    <w:rsid w:val="002D3DA9"/>
    <w:rsid w:val="002E76D1"/>
    <w:rsid w:val="002E7AE9"/>
    <w:rsid w:val="002F05A0"/>
    <w:rsid w:val="002F2D31"/>
    <w:rsid w:val="002F504A"/>
    <w:rsid w:val="0033675B"/>
    <w:rsid w:val="00350B62"/>
    <w:rsid w:val="00355B36"/>
    <w:rsid w:val="00372CFE"/>
    <w:rsid w:val="003801C9"/>
    <w:rsid w:val="0038051D"/>
    <w:rsid w:val="003D001B"/>
    <w:rsid w:val="0041342E"/>
    <w:rsid w:val="00413741"/>
    <w:rsid w:val="004319B7"/>
    <w:rsid w:val="0044040E"/>
    <w:rsid w:val="00440F35"/>
    <w:rsid w:val="00442647"/>
    <w:rsid w:val="004632EE"/>
    <w:rsid w:val="00463F91"/>
    <w:rsid w:val="00464318"/>
    <w:rsid w:val="00477F37"/>
    <w:rsid w:val="004A6B45"/>
    <w:rsid w:val="004A74CA"/>
    <w:rsid w:val="004C2164"/>
    <w:rsid w:val="004E0614"/>
    <w:rsid w:val="004E4B20"/>
    <w:rsid w:val="004F3B84"/>
    <w:rsid w:val="004F51C6"/>
    <w:rsid w:val="00551A51"/>
    <w:rsid w:val="0055277A"/>
    <w:rsid w:val="00556333"/>
    <w:rsid w:val="005B06ED"/>
    <w:rsid w:val="005B6102"/>
    <w:rsid w:val="005C3EF8"/>
    <w:rsid w:val="005D5877"/>
    <w:rsid w:val="005F437A"/>
    <w:rsid w:val="005F4B7C"/>
    <w:rsid w:val="006017F3"/>
    <w:rsid w:val="00602C80"/>
    <w:rsid w:val="00610DF2"/>
    <w:rsid w:val="00640733"/>
    <w:rsid w:val="00652168"/>
    <w:rsid w:val="006717A9"/>
    <w:rsid w:val="00675EAD"/>
    <w:rsid w:val="006A2528"/>
    <w:rsid w:val="006B1924"/>
    <w:rsid w:val="006B55B0"/>
    <w:rsid w:val="006E05B9"/>
    <w:rsid w:val="006E389A"/>
    <w:rsid w:val="006F16B9"/>
    <w:rsid w:val="0070365B"/>
    <w:rsid w:val="00704F6F"/>
    <w:rsid w:val="00711EF4"/>
    <w:rsid w:val="00713487"/>
    <w:rsid w:val="00760FD4"/>
    <w:rsid w:val="00773247"/>
    <w:rsid w:val="00775B31"/>
    <w:rsid w:val="00786AD9"/>
    <w:rsid w:val="0079035B"/>
    <w:rsid w:val="00791E21"/>
    <w:rsid w:val="00796499"/>
    <w:rsid w:val="00796E57"/>
    <w:rsid w:val="007B7FEE"/>
    <w:rsid w:val="007D1721"/>
    <w:rsid w:val="007E7B56"/>
    <w:rsid w:val="007F5BA5"/>
    <w:rsid w:val="0080172A"/>
    <w:rsid w:val="00811AF7"/>
    <w:rsid w:val="00812378"/>
    <w:rsid w:val="00831BAC"/>
    <w:rsid w:val="0083536E"/>
    <w:rsid w:val="00835AE5"/>
    <w:rsid w:val="00835BD4"/>
    <w:rsid w:val="00851D6F"/>
    <w:rsid w:val="008674E8"/>
    <w:rsid w:val="00867735"/>
    <w:rsid w:val="008B40A0"/>
    <w:rsid w:val="008D0EC4"/>
    <w:rsid w:val="008E57D8"/>
    <w:rsid w:val="008F1256"/>
    <w:rsid w:val="0090788E"/>
    <w:rsid w:val="00917D29"/>
    <w:rsid w:val="009436F9"/>
    <w:rsid w:val="009801E4"/>
    <w:rsid w:val="00982697"/>
    <w:rsid w:val="009C0EF7"/>
    <w:rsid w:val="009E3EDC"/>
    <w:rsid w:val="009F0095"/>
    <w:rsid w:val="009F5A4F"/>
    <w:rsid w:val="00A06CF8"/>
    <w:rsid w:val="00A200E2"/>
    <w:rsid w:val="00A2393A"/>
    <w:rsid w:val="00A34B84"/>
    <w:rsid w:val="00A879AF"/>
    <w:rsid w:val="00A94717"/>
    <w:rsid w:val="00AA05FD"/>
    <w:rsid w:val="00AA06CD"/>
    <w:rsid w:val="00AB3058"/>
    <w:rsid w:val="00AC206F"/>
    <w:rsid w:val="00AE4A0B"/>
    <w:rsid w:val="00AF556D"/>
    <w:rsid w:val="00B15333"/>
    <w:rsid w:val="00B27CD9"/>
    <w:rsid w:val="00B30099"/>
    <w:rsid w:val="00B55542"/>
    <w:rsid w:val="00B77386"/>
    <w:rsid w:val="00B778BE"/>
    <w:rsid w:val="00B8201F"/>
    <w:rsid w:val="00B92DF9"/>
    <w:rsid w:val="00BA6FD0"/>
    <w:rsid w:val="00BC7205"/>
    <w:rsid w:val="00BD0416"/>
    <w:rsid w:val="00BF0FAD"/>
    <w:rsid w:val="00C0577D"/>
    <w:rsid w:val="00C1342F"/>
    <w:rsid w:val="00C36DDD"/>
    <w:rsid w:val="00C447A2"/>
    <w:rsid w:val="00C44F51"/>
    <w:rsid w:val="00C5507C"/>
    <w:rsid w:val="00C651FB"/>
    <w:rsid w:val="00C705B1"/>
    <w:rsid w:val="00C73368"/>
    <w:rsid w:val="00C74C7D"/>
    <w:rsid w:val="00C83CBD"/>
    <w:rsid w:val="00CA3D68"/>
    <w:rsid w:val="00CA3F01"/>
    <w:rsid w:val="00CC25BB"/>
    <w:rsid w:val="00CC2961"/>
    <w:rsid w:val="00CE3BF4"/>
    <w:rsid w:val="00CF1A7C"/>
    <w:rsid w:val="00CF1F93"/>
    <w:rsid w:val="00CF5D81"/>
    <w:rsid w:val="00D45EA2"/>
    <w:rsid w:val="00D663F8"/>
    <w:rsid w:val="00D832BA"/>
    <w:rsid w:val="00DB2D8E"/>
    <w:rsid w:val="00DB7FEF"/>
    <w:rsid w:val="00DC0438"/>
    <w:rsid w:val="00DD5377"/>
    <w:rsid w:val="00DE0B0A"/>
    <w:rsid w:val="00DE489F"/>
    <w:rsid w:val="00DF0AA5"/>
    <w:rsid w:val="00E14514"/>
    <w:rsid w:val="00E476D0"/>
    <w:rsid w:val="00E702BA"/>
    <w:rsid w:val="00EA2F26"/>
    <w:rsid w:val="00EA42FD"/>
    <w:rsid w:val="00EA5509"/>
    <w:rsid w:val="00EB146A"/>
    <w:rsid w:val="00ED410A"/>
    <w:rsid w:val="00ED4540"/>
    <w:rsid w:val="00ED48BF"/>
    <w:rsid w:val="00ED4D7D"/>
    <w:rsid w:val="00ED70FE"/>
    <w:rsid w:val="00EF4F32"/>
    <w:rsid w:val="00F462E5"/>
    <w:rsid w:val="00F5253E"/>
    <w:rsid w:val="00F56ADD"/>
    <w:rsid w:val="00F57315"/>
    <w:rsid w:val="00F643B6"/>
    <w:rsid w:val="00F66190"/>
    <w:rsid w:val="00F74EA1"/>
    <w:rsid w:val="00FA77DF"/>
    <w:rsid w:val="00FF6CF2"/>
    <w:rsid w:val="00FF7A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1FE12"/>
  <w15:docId w15:val="{B309E2BB-D298-4EF8-8F6C-B33E08F7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5"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C6"/>
    <w:pPr>
      <w:tabs>
        <w:tab w:val="left" w:pos="255"/>
        <w:tab w:val="left" w:pos="1021"/>
      </w:tabs>
    </w:pPr>
    <w:rPr>
      <w:kern w:val="12"/>
      <w:lang w:val="en-GB"/>
    </w:rPr>
  </w:style>
  <w:style w:type="paragraph" w:styleId="Heading1">
    <w:name w:val="heading 1"/>
    <w:aliases w:val="Headline 1"/>
    <w:basedOn w:val="zzHeadlines"/>
    <w:next w:val="Normal"/>
    <w:link w:val="Heading1Char"/>
    <w:uiPriority w:val="33"/>
    <w:qFormat/>
    <w:rsid w:val="00C5507C"/>
    <w:pPr>
      <w:spacing w:before="560" w:after="280"/>
      <w:outlineLvl w:val="0"/>
    </w:pPr>
    <w:rPr>
      <w:rFonts w:asciiTheme="minorHAnsi" w:eastAsiaTheme="majorEastAsia" w:hAnsiTheme="minorHAnsi" w:cstheme="majorBidi"/>
      <w:bCs/>
      <w:szCs w:val="28"/>
    </w:rPr>
  </w:style>
  <w:style w:type="paragraph" w:styleId="Heading2">
    <w:name w:val="heading 2"/>
    <w:aliases w:val="Headline 2"/>
    <w:basedOn w:val="zzHeadlines"/>
    <w:next w:val="Normal"/>
    <w:link w:val="Heading2Char"/>
    <w:uiPriority w:val="35"/>
    <w:qFormat/>
    <w:rsid w:val="00C5507C"/>
    <w:pPr>
      <w:spacing w:before="560"/>
      <w:outlineLvl w:val="1"/>
    </w:pPr>
    <w:rPr>
      <w:rFonts w:asciiTheme="minorHAnsi" w:hAnsiTheme="minorHAnsi"/>
      <w:szCs w:val="26"/>
    </w:rPr>
  </w:style>
  <w:style w:type="paragraph" w:styleId="Heading3">
    <w:name w:val="heading 3"/>
    <w:basedOn w:val="zzHeadlines"/>
    <w:next w:val="Normal"/>
    <w:link w:val="Heading3Char"/>
    <w:uiPriority w:val="37"/>
    <w:semiHidden/>
    <w:rsid w:val="00835BD4"/>
    <w:pPr>
      <w:outlineLvl w:val="2"/>
    </w:p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qFormat/>
    <w:rsid w:val="00AE4A0B"/>
    <w:pPr>
      <w:ind w:left="255"/>
      <w:contextualSpacing/>
    </w:pPr>
  </w:style>
  <w:style w:type="paragraph" w:styleId="ListNumber">
    <w:name w:val="List Number"/>
    <w:basedOn w:val="Normal"/>
    <w:uiPriority w:val="12"/>
    <w:qFormat/>
    <w:rsid w:val="00AE4A0B"/>
    <w:pPr>
      <w:numPr>
        <w:numId w:val="25"/>
      </w:numPr>
      <w:contextualSpacing/>
    </w:pPr>
  </w:style>
  <w:style w:type="paragraph" w:styleId="ListNumber2">
    <w:name w:val="List Number 2"/>
    <w:basedOn w:val="Normal"/>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Emphasis">
    <w:name w:val="Emphasis"/>
    <w:basedOn w:val="DefaultParagraphFont"/>
    <w:uiPriority w:val="3"/>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4"/>
    <w:qFormat/>
    <w:rsid w:val="007B7FEE"/>
    <w:rPr>
      <w:b/>
      <w:bCs/>
    </w:rPr>
  </w:style>
  <w:style w:type="paragraph" w:styleId="Title">
    <w:name w:val="Title"/>
    <w:basedOn w:val="zzHeadlines"/>
    <w:next w:val="Subtitle"/>
    <w:link w:val="TitleChar"/>
    <w:uiPriority w:val="29"/>
    <w:qFormat/>
    <w:rsid w:val="00C5507C"/>
    <w:pPr>
      <w:spacing w:line="360" w:lineRule="exact"/>
    </w:pPr>
    <w:rPr>
      <w:rFonts w:eastAsiaTheme="majorEastAsia" w:cstheme="majorBidi"/>
      <w:sz w:val="28"/>
      <w:szCs w:val="52"/>
    </w:rPr>
  </w:style>
  <w:style w:type="character" w:customStyle="1" w:styleId="TitleChar">
    <w:name w:val="Title Char"/>
    <w:basedOn w:val="DefaultParagraphFont"/>
    <w:link w:val="Title"/>
    <w:uiPriority w:val="29"/>
    <w:rsid w:val="00C5507C"/>
    <w:rPr>
      <w:rFonts w:asciiTheme="majorHAnsi" w:eastAsiaTheme="majorEastAsia" w:hAnsiTheme="majorHAnsi" w:cstheme="majorBidi"/>
      <w:b/>
      <w:kern w:val="12"/>
      <w:sz w:val="28"/>
      <w:szCs w:val="52"/>
    </w:rPr>
  </w:style>
  <w:style w:type="paragraph" w:styleId="Caption">
    <w:name w:val="caption"/>
    <w:aliases w:val="Bildunterschrift"/>
    <w:basedOn w:val="Normal"/>
    <w:next w:val="Normal"/>
    <w:uiPriority w:val="10"/>
    <w:semiHidden/>
    <w:rsid w:val="002A033B"/>
    <w:pPr>
      <w:keepLines/>
    </w:pPr>
    <w:rPr>
      <w:bCs/>
      <w:szCs w:val="18"/>
    </w:rPr>
  </w:style>
  <w:style w:type="character" w:styleId="Followed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DefaultParagraphFont"/>
    <w:uiPriority w:val="6"/>
    <w:semiHidden/>
    <w:rsid w:val="00C5507C"/>
    <w:rPr>
      <w:color w:val="auto"/>
      <w:u w:val="single"/>
    </w:rPr>
  </w:style>
  <w:style w:type="character" w:customStyle="1" w:styleId="Heading1Char">
    <w:name w:val="Heading 1 Char"/>
    <w:aliases w:val="Headline 1 Char"/>
    <w:basedOn w:val="DefaultParagraphFont"/>
    <w:link w:val="Heading1"/>
    <w:uiPriority w:val="33"/>
    <w:rsid w:val="00C5507C"/>
    <w:rPr>
      <w:rFonts w:eastAsiaTheme="majorEastAsia" w:cstheme="majorBidi"/>
      <w:b/>
      <w:bCs/>
      <w:kern w:val="12"/>
      <w:szCs w:val="28"/>
    </w:rPr>
  </w:style>
  <w:style w:type="character" w:customStyle="1" w:styleId="Heading2Char">
    <w:name w:val="Heading 2 Char"/>
    <w:aliases w:val="Headline 2 Char"/>
    <w:basedOn w:val="DefaultParagraphFont"/>
    <w:link w:val="Heading2"/>
    <w:uiPriority w:val="35"/>
    <w:rsid w:val="00C5507C"/>
    <w:rPr>
      <w:b/>
      <w:kern w:val="12"/>
      <w:szCs w:val="26"/>
    </w:rPr>
  </w:style>
  <w:style w:type="character" w:customStyle="1" w:styleId="Heading3Char">
    <w:name w:val="Heading 3 Char"/>
    <w:basedOn w:val="DefaultParagraphFont"/>
    <w:link w:val="Heading3"/>
    <w:uiPriority w:val="37"/>
    <w:semiHidden/>
    <w:rsid w:val="00C5507C"/>
    <w:rPr>
      <w:rFonts w:asciiTheme="majorHAnsi" w:hAnsiTheme="majorHAnsi"/>
      <w:b/>
      <w:kern w:val="12"/>
    </w:rPr>
  </w:style>
  <w:style w:type="paragraph" w:styleId="Subtitle">
    <w:name w:val="Subtitle"/>
    <w:basedOn w:val="zzHeadlines"/>
    <w:next w:val="Normal"/>
    <w:link w:val="SubtitleChar"/>
    <w:uiPriority w:val="30"/>
    <w:qFormat/>
    <w:rsid w:val="00C5507C"/>
    <w:pPr>
      <w:numPr>
        <w:ilvl w:val="1"/>
      </w:numPr>
      <w:spacing w:line="360" w:lineRule="exact"/>
    </w:pPr>
    <w:rPr>
      <w:rFonts w:eastAsiaTheme="majorEastAsia" w:cstheme="majorBidi"/>
      <w:b w:val="0"/>
      <w:iCs/>
      <w:sz w:val="28"/>
      <w:szCs w:val="24"/>
    </w:rPr>
  </w:style>
  <w:style w:type="character" w:customStyle="1" w:styleId="SubtitleChar">
    <w:name w:val="Subtitle Char"/>
    <w:basedOn w:val="DefaultParagraphFont"/>
    <w:link w:val="Subtitle"/>
    <w:uiPriority w:val="30"/>
    <w:rsid w:val="00C5507C"/>
    <w:rPr>
      <w:rFonts w:asciiTheme="majorHAnsi" w:eastAsiaTheme="majorEastAsia" w:hAnsiTheme="majorHAnsi" w:cstheme="majorBidi"/>
      <w:iCs/>
      <w:kern w:val="12"/>
      <w:sz w:val="28"/>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167031"/>
    <w:rPr>
      <w:kern w:val="12"/>
    </w:rPr>
  </w:style>
  <w:style w:type="paragraph" w:styleId="EnvelopeReturn">
    <w:name w:val="envelope return"/>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basedOn w:val="Normal"/>
    <w:uiPriority w:val="19"/>
    <w:rsid w:val="00FF7A4C"/>
    <w:pPr>
      <w:framePr w:w="4536" w:h="1680"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835AE5"/>
    <w:rPr>
      <w:kern w:val="12"/>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C5507C"/>
    <w:rPr>
      <w:kern w:val="12"/>
    </w:rPr>
  </w:style>
  <w:style w:type="paragraph" w:styleId="Footer">
    <w:name w:val="footer"/>
    <w:basedOn w:val="zzHeaderFooter"/>
    <w:link w:val="Footer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FooterChar">
    <w:name w:val="Footer Char"/>
    <w:basedOn w:val="DefaultParagraphFont"/>
    <w:link w:val="Footer"/>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Normal"/>
    <w:next w:val="Normal"/>
    <w:uiPriority w:val="9"/>
    <w:semiHidden/>
    <w:rsid w:val="00350B62"/>
    <w:pPr>
      <w:keepNext/>
      <w:keepLines/>
      <w:ind w:left="-17"/>
    </w:pPr>
  </w:style>
  <w:style w:type="paragraph" w:customStyle="1" w:styleId="Subject">
    <w:name w:val="Subject"/>
    <w:basedOn w:val="Normal"/>
    <w:next w:val="Normal"/>
    <w:uiPriority w:val="19"/>
    <w:qFormat/>
    <w:rsid w:val="00167308"/>
    <w:pPr>
      <w:spacing w:after="560"/>
    </w:pPr>
  </w:style>
  <w:style w:type="paragraph" w:styleId="Date">
    <w:name w:val="Date"/>
    <w:basedOn w:val="Normal"/>
    <w:next w:val="Normal"/>
    <w:link w:val="DateChar"/>
    <w:uiPriority w:val="19"/>
    <w:rsid w:val="00DB2D8E"/>
  </w:style>
  <w:style w:type="character" w:customStyle="1" w:styleId="DateChar">
    <w:name w:val="Date Char"/>
    <w:basedOn w:val="DefaultParagraphFont"/>
    <w:link w:val="Date"/>
    <w:uiPriority w:val="19"/>
    <w:rsid w:val="00773247"/>
    <w:rPr>
      <w:kern w:val="12"/>
      <w:sz w:val="20"/>
    </w:rPr>
  </w:style>
  <w:style w:type="paragraph" w:customStyle="1" w:styleId="zzHeadlines">
    <w:name w:val="zz_Headlines"/>
    <w:basedOn w:val="Normal"/>
    <w:uiPriority w:val="99"/>
    <w:semiHidden/>
    <w:rsid w:val="00835AE5"/>
    <w:pPr>
      <w:keepNext/>
      <w:keepLines/>
      <w:suppressAutoHyphens/>
    </w:pPr>
    <w:rPr>
      <w:rFonts w:asciiTheme="majorHAnsi" w:hAnsiTheme="majorHAnsi"/>
      <w:b/>
    </w:rPr>
  </w:style>
  <w:style w:type="paragraph" w:customStyle="1" w:styleId="zzHeaderFooter">
    <w:name w:val="zz_HeaderFooter"/>
    <w:basedOn w:val="Normal"/>
    <w:uiPriority w:val="99"/>
    <w:semiHidden/>
    <w:rsid w:val="000B5EBD"/>
  </w:style>
  <w:style w:type="paragraph" w:customStyle="1" w:styleId="BusinessData">
    <w:name w:val="Business Data"/>
    <w:basedOn w:val="Footer"/>
    <w:uiPriority w:val="19"/>
    <w:semiHidden/>
    <w:rsid w:val="00917D29"/>
  </w:style>
  <w:style w:type="paragraph" w:styleId="ListBullet">
    <w:name w:val="List Bullet"/>
    <w:basedOn w:val="Normal"/>
    <w:uiPriority w:val="11"/>
    <w:qFormat/>
    <w:rsid w:val="00AE4A0B"/>
    <w:pPr>
      <w:numPr>
        <w:numId w:val="20"/>
      </w:numPr>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AE4A0B"/>
    <w:pPr>
      <w:numPr>
        <w:numId w:val="26"/>
      </w:numPr>
    </w:pPr>
  </w:style>
  <w:style w:type="character" w:customStyle="1" w:styleId="Heading4Char">
    <w:name w:val="Heading 4 Char"/>
    <w:basedOn w:val="DefaultParagraphFont"/>
    <w:link w:val="Heading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44"/>
    <w:semiHidden/>
    <w:rsid w:val="002E7AE9"/>
    <w:pPr>
      <w:suppressAutoHyphens w:val="0"/>
      <w:spacing w:before="480"/>
    </w:pPr>
  </w:style>
  <w:style w:type="paragraph" w:styleId="TOC1">
    <w:name w:val="toc 1"/>
    <w:basedOn w:val="Normal"/>
    <w:next w:val="Normal"/>
    <w:uiPriority w:val="44"/>
    <w:semiHidden/>
    <w:rsid w:val="002E7AE9"/>
    <w:pPr>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44"/>
    <w:semiHidden/>
    <w:rsid w:val="002E7AE9"/>
    <w:pPr>
      <w:ind w:left="40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Footer"/>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Normal"/>
    <w:uiPriority w:val="99"/>
    <w:semiHidden/>
    <w:rsid w:val="004E4B20"/>
    <w:pPr>
      <w:framePr w:w="8505" w:wrap="notBeside" w:hAnchor="margin" w:yAlign="top"/>
    </w:pPr>
  </w:style>
  <w:style w:type="table" w:styleId="TableGrid">
    <w:name w:val="Table Grid"/>
    <w:basedOn w:val="TableNormal"/>
    <w:uiPriority w:val="59"/>
    <w:rsid w:val="006E05B9"/>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EnvelopeAddress"/>
    <w:uiPriority w:val="19"/>
    <w:qFormat/>
    <w:rsid w:val="0013465A"/>
    <w:pPr>
      <w:framePr w:h="480" w:hRule="exact" w:wrap="notBesid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auda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landen@givaudan.com" TargetMode="External"/><Relationship Id="rId4" Type="http://schemas.openxmlformats.org/officeDocument/2006/relationships/settings" Target="settings.xml"/><Relationship Id="rId9" Type="http://schemas.openxmlformats.org/officeDocument/2006/relationships/hyperlink" Target="http://www.givaudan.com/taste-wellbe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givaudan.com/" TargetMode="External"/><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elingj\appdata\roaming\microsoft\templates\Givaudan_A4_Intl_ContentHeadlines_Turquoise.dotx" TargetMode="External"/></Relationships>
</file>

<file path=word/theme/theme1.xml><?xml version="1.0" encoding="utf-8"?>
<a:theme xmlns:a="http://schemas.openxmlformats.org/drawingml/2006/main" name="Larissa">
  <a:themeElements>
    <a:clrScheme name="GIV Turquoise">
      <a:dk1>
        <a:sysClr val="windowText" lastClr="000000"/>
      </a:dk1>
      <a:lt1>
        <a:sysClr val="window" lastClr="FFFFFF"/>
      </a:lt1>
      <a:dk2>
        <a:srgbClr val="00B4B2"/>
      </a:dk2>
      <a:lt2>
        <a:srgbClr val="A6A6A6"/>
      </a:lt2>
      <a:accent1>
        <a:srgbClr val="005260"/>
      </a:accent1>
      <a:accent2>
        <a:srgbClr val="018596"/>
      </a:accent2>
      <a:accent3>
        <a:srgbClr val="00B4B2"/>
      </a:accent3>
      <a:accent4>
        <a:srgbClr val="00E8DB"/>
      </a:accent4>
      <a:accent5>
        <a:srgbClr val="8EF5EA"/>
      </a:accent5>
      <a:accent6>
        <a:srgbClr val="000000"/>
      </a:accent6>
      <a:hlink>
        <a:srgbClr val="00B4B2"/>
      </a:hlink>
      <a:folHlink>
        <a:srgbClr val="00B4B2"/>
      </a:folHlink>
    </a:clrScheme>
    <a:fontScheme name="Givaudan">
      <a:majorFont>
        <a:latin typeface="Georgi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B70B-98EF-4A86-ADBE-03F51424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Givaudan_A4_Intl_ContentHeadlines_Turquoise</Template>
  <TotalTime>6</TotalTime>
  <Pages>2</Pages>
  <Words>766</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Givaudan</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Teeling</dc:creator>
  <cp:lastModifiedBy>Steve Harman</cp:lastModifiedBy>
  <cp:revision>5</cp:revision>
  <cp:lastPrinted>2014-08-19T12:41:00Z</cp:lastPrinted>
  <dcterms:created xsi:type="dcterms:W3CDTF">2021-04-27T12:45:00Z</dcterms:created>
  <dcterms:modified xsi:type="dcterms:W3CDTF">2021-04-27T12:47:00Z</dcterms:modified>
</cp:coreProperties>
</file>